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spacing w:before="62" w:beforeLines="20" w:after="62" w:afterLines="20" w:line="560" w:lineRule="exact"/>
        <w:jc w:val="center"/>
        <w:textAlignment w:val="auto"/>
        <w:rPr>
          <w:rFonts w:hint="eastAsia" w:ascii="宋体" w:hAnsi="宋体" w:eastAsia="宋体" w:cs="宋体"/>
          <w:b w:val="0"/>
          <w:bCs w:val="0"/>
          <w:color w:val="auto"/>
          <w:sz w:val="36"/>
          <w:szCs w:val="36"/>
          <w:highlight w:val="none"/>
          <w:lang w:val="en-US" w:eastAsia="zh-CN"/>
        </w:rPr>
      </w:pPr>
      <w:bookmarkStart w:id="0" w:name="_Toc5459"/>
      <w:r>
        <w:rPr>
          <w:rFonts w:hint="eastAsia" w:ascii="宋体" w:hAnsi="宋体" w:eastAsia="宋体" w:cs="宋体"/>
          <w:b w:val="0"/>
          <w:bCs w:val="0"/>
          <w:color w:val="auto"/>
          <w:sz w:val="36"/>
          <w:szCs w:val="36"/>
          <w:highlight w:val="none"/>
          <w:lang w:val="en-US" w:eastAsia="zh-CN"/>
        </w:rPr>
        <w:t>北京市顺义区后沙峪镇西泗上村棚户区改造土地开发项目SY00-1801-0104、0105、 0106、0107地块R2二类居住用地、B1商业用地、A334托幼用地</w:t>
      </w:r>
    </w:p>
    <w:p>
      <w:pPr>
        <w:pStyle w:val="4"/>
        <w:keepNext/>
        <w:keepLines/>
        <w:pageBreakBefore w:val="0"/>
        <w:widowControl w:val="0"/>
        <w:kinsoku/>
        <w:wordWrap/>
        <w:overflowPunct/>
        <w:topLinePunct w:val="0"/>
        <w:autoSpaceDE/>
        <w:autoSpaceDN/>
        <w:bidi w:val="0"/>
        <w:adjustRightInd/>
        <w:snapToGrid/>
        <w:spacing w:before="62" w:beforeLines="20" w:after="62" w:afterLines="20" w:line="560" w:lineRule="exact"/>
        <w:jc w:val="center"/>
        <w:textAlignment w:val="auto"/>
        <w:rPr>
          <w:rFonts w:hint="eastAsia" w:ascii="宋体" w:hAnsi="宋体" w:eastAsia="宋体" w:cs="宋体"/>
          <w:b w:val="0"/>
          <w:bCs w:val="0"/>
          <w:color w:val="auto"/>
          <w:sz w:val="36"/>
          <w:szCs w:val="36"/>
          <w:highlight w:val="none"/>
          <w:lang w:eastAsia="zh-CN"/>
        </w:rPr>
      </w:pPr>
      <w:r>
        <w:rPr>
          <w:rFonts w:hint="eastAsia" w:ascii="宋体" w:hAnsi="宋体" w:eastAsia="宋体" w:cs="宋体"/>
          <w:b w:val="0"/>
          <w:bCs w:val="0"/>
          <w:color w:val="auto"/>
          <w:sz w:val="36"/>
          <w:szCs w:val="36"/>
          <w:highlight w:val="none"/>
          <w:lang w:eastAsia="zh-CN"/>
        </w:rPr>
        <w:t>国有建设用地使用权</w:t>
      </w:r>
      <w:bookmarkStart w:id="1" w:name="_Toc41366787"/>
      <w:bookmarkStart w:id="2" w:name="_Toc41366853"/>
      <w:r>
        <w:rPr>
          <w:rFonts w:hint="eastAsia" w:ascii="宋体" w:hAnsi="宋体" w:eastAsia="宋体" w:cs="宋体"/>
          <w:b w:val="0"/>
          <w:bCs w:val="0"/>
          <w:color w:val="auto"/>
          <w:sz w:val="36"/>
          <w:szCs w:val="36"/>
          <w:highlight w:val="none"/>
          <w:lang w:eastAsia="zh-CN"/>
        </w:rPr>
        <w:t>挂牌</w:t>
      </w:r>
      <w:bookmarkStart w:id="3" w:name="_Toc11484"/>
      <w:r>
        <w:rPr>
          <w:rFonts w:hint="eastAsia" w:ascii="宋体" w:hAnsi="宋体" w:eastAsia="宋体" w:cs="宋体"/>
          <w:b w:val="0"/>
          <w:bCs w:val="0"/>
          <w:color w:val="auto"/>
          <w:sz w:val="36"/>
          <w:szCs w:val="36"/>
          <w:highlight w:val="none"/>
          <w:lang w:eastAsia="zh-CN"/>
        </w:rPr>
        <w:t>出让公告</w:t>
      </w:r>
      <w:bookmarkEnd w:id="0"/>
      <w:bookmarkEnd w:id="1"/>
      <w:bookmarkEnd w:id="2"/>
      <w:bookmarkEnd w:id="3"/>
    </w:p>
    <w:p>
      <w:pPr>
        <w:spacing w:line="240" w:lineRule="auto"/>
        <w:rPr>
          <w:rFonts w:ascii="Times New Roman" w:hAnsi="Times New Roman" w:cs="Times New Roman"/>
          <w:color w:val="auto"/>
          <w:highlight w:val="none"/>
        </w:rPr>
      </w:pPr>
    </w:p>
    <w:p>
      <w:pPr>
        <w:spacing w:line="240" w:lineRule="auto"/>
        <w:ind w:firstLine="560" w:firstLineChars="200"/>
        <w:rPr>
          <w:rFonts w:hint="default" w:ascii="Times New Roman" w:hAnsi="Times New Roman" w:eastAsia="仿宋_GB2312" w:cs="Times New Roman"/>
          <w:color w:val="auto"/>
          <w:sz w:val="28"/>
          <w:highlight w:val="none"/>
          <w:lang w:eastAsia="zh-CN"/>
        </w:rPr>
      </w:pPr>
      <w:r>
        <w:rPr>
          <w:rFonts w:ascii="Times New Roman" w:hAnsi="Times New Roman" w:eastAsia="仿宋_GB2312" w:cs="Times New Roman"/>
          <w:color w:val="auto"/>
          <w:sz w:val="28"/>
          <w:highlight w:val="none"/>
        </w:rPr>
        <w:t>根据国家和北京市的相关规定，经北京市人民政府批准，北京市规划和自然资源委员会决定</w:t>
      </w:r>
      <w:r>
        <w:rPr>
          <w:rFonts w:hint="default" w:ascii="Times New Roman" w:hAnsi="Times New Roman" w:eastAsia="仿宋_GB2312" w:cs="Times New Roman"/>
          <w:color w:val="auto"/>
          <w:sz w:val="28"/>
          <w:highlight w:val="none"/>
          <w:lang w:val="en-US" w:eastAsia="zh-CN"/>
        </w:rPr>
        <w:t>在</w:t>
      </w:r>
      <w:r>
        <w:rPr>
          <w:rFonts w:hint="default" w:ascii="Times New Roman" w:hAnsi="Times New Roman" w:eastAsia="仿宋_GB2312" w:cs="Times New Roman"/>
          <w:color w:val="auto"/>
          <w:kern w:val="2"/>
          <w:sz w:val="28"/>
          <w:szCs w:val="24"/>
          <w:highlight w:val="none"/>
          <w:lang w:val="en-US" w:eastAsia="zh-CN" w:bidi="ar-SA"/>
        </w:rPr>
        <w:t>北京市丰台区西三环南路1号</w:t>
      </w:r>
      <w:r>
        <w:rPr>
          <w:rFonts w:hint="default" w:ascii="Times New Roman" w:hAnsi="Times New Roman" w:eastAsia="仿宋_GB2312" w:cs="Times New Roman"/>
          <w:color w:val="auto"/>
          <w:sz w:val="28"/>
          <w:highlight w:val="none"/>
        </w:rPr>
        <w:t>市公共资源交易综合分平台五层</w:t>
      </w:r>
      <w:r>
        <w:rPr>
          <w:rFonts w:hint="default" w:ascii="Times New Roman" w:hAnsi="Times New Roman" w:eastAsia="仿宋_GB2312" w:cs="Times New Roman"/>
          <w:color w:val="auto"/>
          <w:kern w:val="2"/>
          <w:sz w:val="28"/>
          <w:szCs w:val="24"/>
          <w:highlight w:val="none"/>
          <w:lang w:val="en-US" w:eastAsia="zh-CN" w:bidi="ar-SA"/>
        </w:rPr>
        <w:t>，</w:t>
      </w:r>
      <w:r>
        <w:rPr>
          <w:rFonts w:ascii="Times New Roman" w:hAnsi="Times New Roman" w:eastAsia="仿宋_GB2312" w:cs="Times New Roman"/>
          <w:color w:val="auto"/>
          <w:sz w:val="28"/>
          <w:highlight w:val="none"/>
        </w:rPr>
        <w:t>公开挂牌出让</w:t>
      </w:r>
      <w:r>
        <w:rPr>
          <w:rFonts w:hint="default" w:ascii="Times New Roman" w:hAnsi="Times New Roman" w:eastAsia="仿宋_GB2312" w:cs="Times New Roman"/>
          <w:color w:val="auto"/>
          <w:sz w:val="28"/>
          <w:highlight w:val="none"/>
          <w:lang w:eastAsia="zh-CN"/>
        </w:rPr>
        <w:t>北京市顺义区后沙峪镇西泗上村棚户区改造土地开发项目SY00-1801-0104、0105</w:t>
      </w:r>
      <w:r>
        <w:rPr>
          <w:rFonts w:hint="eastAsia" w:ascii="Times New Roman" w:hAnsi="Times New Roman" w:eastAsia="仿宋_GB2312" w:cs="Times New Roman"/>
          <w:color w:val="auto"/>
          <w:sz w:val="28"/>
          <w:highlight w:val="none"/>
          <w:lang w:eastAsia="zh-CN"/>
        </w:rPr>
        <w:t>、</w:t>
      </w:r>
      <w:r>
        <w:rPr>
          <w:rFonts w:hint="default" w:ascii="Times New Roman" w:hAnsi="Times New Roman" w:eastAsia="仿宋_GB2312" w:cs="Times New Roman"/>
          <w:color w:val="auto"/>
          <w:sz w:val="28"/>
          <w:highlight w:val="none"/>
          <w:lang w:eastAsia="zh-CN"/>
        </w:rPr>
        <w:t>0106、0107地块R2二类居住用地、B1商业用地、A334托幼用地</w:t>
      </w:r>
      <w:r>
        <w:rPr>
          <w:rFonts w:ascii="Times New Roman" w:hAnsi="Times New Roman" w:eastAsia="仿宋_GB2312" w:cs="Times New Roman"/>
          <w:color w:val="auto"/>
          <w:sz w:val="28"/>
          <w:highlight w:val="none"/>
        </w:rPr>
        <w:t>国有建设用地使用权。</w:t>
      </w:r>
      <w:r>
        <w:rPr>
          <w:rFonts w:hint="default" w:ascii="Times New Roman" w:hAnsi="Times New Roman" w:eastAsia="仿宋_GB2312" w:cs="Times New Roman"/>
          <w:color w:val="auto"/>
          <w:sz w:val="28"/>
          <w:highlight w:val="none"/>
        </w:rPr>
        <w:t>北京市公共资源交易中心负责本次挂牌出让的组织和实施工作</w:t>
      </w:r>
      <w:r>
        <w:rPr>
          <w:rFonts w:hint="default" w:ascii="Times New Roman" w:hAnsi="Times New Roman" w:eastAsia="仿宋_GB2312" w:cs="Times New Roman"/>
          <w:color w:val="auto"/>
          <w:sz w:val="28"/>
          <w:highlight w:val="none"/>
          <w:lang w:eastAsia="zh-CN"/>
        </w:rPr>
        <w:t>。</w:t>
      </w:r>
    </w:p>
    <w:p>
      <w:pPr>
        <w:spacing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一</w:t>
      </w:r>
      <w:r>
        <w:rPr>
          <w:rFonts w:ascii="Times New Roman" w:hAnsi="Times New Roman" w:eastAsia="仿宋_GB2312" w:cs="Times New Roman"/>
          <w:color w:val="auto"/>
          <w:sz w:val="28"/>
          <w:highlight w:val="none"/>
        </w:rPr>
        <w:t>、宗地基本情况</w:t>
      </w:r>
    </w:p>
    <w:p>
      <w:pPr>
        <w:tabs>
          <w:tab w:val="left" w:pos="1297"/>
        </w:tabs>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本次挂牌出让宗地</w:t>
      </w:r>
      <w:r>
        <w:rPr>
          <w:rFonts w:hint="default" w:ascii="Times New Roman" w:hAnsi="Times New Roman" w:eastAsia="仿宋_GB2312" w:cs="Times New Roman"/>
          <w:color w:val="auto"/>
          <w:sz w:val="28"/>
          <w:highlight w:val="none"/>
        </w:rPr>
        <w:t>位于</w:t>
      </w:r>
      <w:r>
        <w:rPr>
          <w:rFonts w:hint="eastAsia" w:ascii="Times New Roman" w:hAnsi="Times New Roman" w:eastAsia="仿宋_GB2312" w:cs="Times New Roman"/>
          <w:color w:val="auto"/>
          <w:sz w:val="28"/>
          <w:highlight w:val="none"/>
          <w:lang w:eastAsia="zh-CN"/>
        </w:rPr>
        <w:t>顺义区后沙峪镇</w:t>
      </w:r>
      <w:r>
        <w:rPr>
          <w:rFonts w:hint="default" w:ascii="Times New Roman" w:hAnsi="Times New Roman" w:eastAsia="仿宋_GB2312" w:cs="Times New Roman"/>
          <w:color w:val="auto"/>
          <w:sz w:val="28"/>
          <w:highlight w:val="none"/>
        </w:rPr>
        <w:t>。</w:t>
      </w:r>
      <w:r>
        <w:rPr>
          <w:rFonts w:ascii="Times New Roman" w:hAnsi="Times New Roman" w:eastAsia="仿宋_GB2312" w:cs="Times New Roman"/>
          <w:color w:val="auto"/>
          <w:sz w:val="28"/>
          <w:highlight w:val="none"/>
        </w:rPr>
        <w:t>四至范围</w:t>
      </w:r>
      <w:r>
        <w:rPr>
          <w:rFonts w:hint="default" w:ascii="Times New Roman" w:hAnsi="Times New Roman" w:eastAsia="仿宋_GB2312" w:cs="Times New Roman"/>
          <w:color w:val="auto"/>
          <w:sz w:val="28"/>
          <w:highlight w:val="none"/>
        </w:rPr>
        <w:t>详见</w:t>
      </w:r>
      <w:r>
        <w:rPr>
          <w:rFonts w:hint="default" w:ascii="Times New Roman" w:hAnsi="Times New Roman" w:eastAsia="仿宋_GB2312" w:cs="Times New Roman"/>
          <w:color w:val="auto"/>
          <w:sz w:val="28"/>
          <w:highlight w:val="none"/>
          <w:lang w:eastAsia="zh-CN"/>
        </w:rPr>
        <w:t>《“多规合一”协同平台审核意见的函》（</w:t>
      </w:r>
      <w:r>
        <w:rPr>
          <w:rFonts w:hint="eastAsia" w:ascii="Times New Roman" w:hAnsi="Times New Roman" w:eastAsia="仿宋_GB2312" w:cs="Times New Roman"/>
          <w:color w:val="auto"/>
          <w:sz w:val="28"/>
          <w:highlight w:val="none"/>
          <w:lang w:eastAsia="zh-CN"/>
        </w:rPr>
        <w:t>京规自（顺）供审函[2024]0007号</w:t>
      </w:r>
      <w:r>
        <w:rPr>
          <w:rFonts w:hint="default" w:ascii="Times New Roman" w:hAnsi="Times New Roman" w:eastAsia="仿宋_GB2312" w:cs="Times New Roman"/>
          <w:color w:val="auto"/>
          <w:sz w:val="28"/>
          <w:highlight w:val="none"/>
          <w:lang w:eastAsia="zh-CN"/>
        </w:rPr>
        <w:t>）</w:t>
      </w:r>
      <w:r>
        <w:rPr>
          <w:rFonts w:hint="default" w:ascii="Times New Roman" w:hAnsi="Times New Roman" w:eastAsia="仿宋_GB2312" w:cs="Times New Roman"/>
          <w:color w:val="auto"/>
          <w:sz w:val="28"/>
          <w:highlight w:val="none"/>
        </w:rPr>
        <w:t>及其附图。</w:t>
      </w:r>
    </w:p>
    <w:p>
      <w:pPr>
        <w:tabs>
          <w:tab w:val="left" w:pos="1297"/>
        </w:tabs>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该宗地将以“</w:t>
      </w:r>
      <w:r>
        <w:rPr>
          <w:rFonts w:hint="eastAsia" w:ascii="Times New Roman" w:hAnsi="Times New Roman" w:eastAsia="仿宋_GB2312" w:cs="Times New Roman"/>
          <w:color w:val="auto"/>
          <w:sz w:val="28"/>
          <w:highlight w:val="none"/>
          <w:lang w:eastAsia="zh-CN"/>
        </w:rPr>
        <w:t>六</w:t>
      </w:r>
      <w:r>
        <w:rPr>
          <w:rFonts w:hint="default" w:ascii="Times New Roman" w:hAnsi="Times New Roman" w:eastAsia="仿宋_GB2312" w:cs="Times New Roman"/>
          <w:color w:val="auto"/>
          <w:sz w:val="28"/>
          <w:highlight w:val="none"/>
          <w:lang w:eastAsia="zh-CN"/>
        </w:rPr>
        <w:t>通一平</w:t>
      </w:r>
      <w:r>
        <w:rPr>
          <w:rFonts w:ascii="Times New Roman" w:hAnsi="Times New Roman" w:eastAsia="仿宋_GB2312" w:cs="Times New Roman"/>
          <w:color w:val="auto"/>
          <w:sz w:val="28"/>
          <w:highlight w:val="none"/>
        </w:rPr>
        <w:t>”形式供地。规划经济技术指标如下表：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975"/>
        <w:gridCol w:w="1279"/>
        <w:gridCol w:w="1510"/>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1728" w:type="dxa"/>
            <w:noWrap w:val="0"/>
            <w:vAlign w:val="center"/>
          </w:tcPr>
          <w:p>
            <w:pPr>
              <w:pStyle w:val="7"/>
              <w:spacing w:line="240" w:lineRule="auto"/>
              <w:ind w:firstLine="0" w:firstLineChars="0"/>
              <w:jc w:val="center"/>
              <w:rPr>
                <w:rFonts w:ascii="Times New Roman" w:hAnsi="Times New Roman" w:eastAsia="仿宋_GB2312" w:cs="Times New Roman"/>
                <w:color w:val="auto"/>
                <w:sz w:val="24"/>
                <w:highlight w:val="none"/>
              </w:rPr>
            </w:pPr>
            <w:r>
              <w:rPr>
                <w:rFonts w:ascii="Times New Roman" w:hAnsi="Times New Roman" w:eastAsia="仿宋_GB2312" w:cs="Times New Roman"/>
                <w:color w:val="auto"/>
                <w:spacing w:val="-4"/>
                <w:sz w:val="24"/>
                <w:highlight w:val="none"/>
              </w:rPr>
              <w:t>挂牌编号</w:t>
            </w:r>
          </w:p>
        </w:tc>
        <w:tc>
          <w:tcPr>
            <w:tcW w:w="1975" w:type="dxa"/>
            <w:noWrap w:val="0"/>
            <w:vAlign w:val="center"/>
          </w:tcPr>
          <w:p>
            <w:pPr>
              <w:pStyle w:val="7"/>
              <w:spacing w:line="240" w:lineRule="auto"/>
              <w:ind w:firstLine="0" w:firstLineChars="0"/>
              <w:jc w:val="center"/>
              <w:rPr>
                <w:rFonts w:ascii="Times New Roman" w:hAnsi="Times New Roman" w:eastAsia="仿宋_GB2312" w:cs="Times New Roman"/>
                <w:color w:val="auto"/>
                <w:spacing w:val="0"/>
                <w:sz w:val="24"/>
                <w:highlight w:val="none"/>
              </w:rPr>
            </w:pPr>
            <w:r>
              <w:rPr>
                <w:rFonts w:ascii="Times New Roman" w:hAnsi="Times New Roman" w:eastAsia="仿宋_GB2312" w:cs="Times New Roman"/>
                <w:color w:val="auto"/>
                <w:spacing w:val="0"/>
                <w:sz w:val="24"/>
                <w:highlight w:val="none"/>
              </w:rPr>
              <w:t>用地性质</w:t>
            </w:r>
          </w:p>
        </w:tc>
        <w:tc>
          <w:tcPr>
            <w:tcW w:w="1279" w:type="dxa"/>
            <w:noWrap w:val="0"/>
            <w:vAlign w:val="center"/>
          </w:tcPr>
          <w:p>
            <w:pPr>
              <w:pStyle w:val="7"/>
              <w:spacing w:line="240" w:lineRule="auto"/>
              <w:ind w:firstLine="0" w:firstLineChars="0"/>
              <w:jc w:val="center"/>
              <w:rPr>
                <w:rFonts w:ascii="Times New Roman" w:hAnsi="Times New Roman" w:eastAsia="仿宋_GB2312" w:cs="Times New Roman"/>
                <w:color w:val="auto"/>
                <w:sz w:val="24"/>
                <w:highlight w:val="none"/>
              </w:rPr>
            </w:pPr>
            <w:r>
              <w:rPr>
                <w:rFonts w:ascii="Times New Roman" w:hAnsi="Times New Roman" w:eastAsia="仿宋_GB2312" w:cs="Times New Roman"/>
                <w:color w:val="auto"/>
                <w:spacing w:val="-4"/>
                <w:sz w:val="24"/>
                <w:highlight w:val="none"/>
              </w:rPr>
              <w:t>出让年限</w:t>
            </w:r>
          </w:p>
        </w:tc>
        <w:tc>
          <w:tcPr>
            <w:tcW w:w="1510" w:type="dxa"/>
            <w:noWrap w:val="0"/>
            <w:vAlign w:val="center"/>
          </w:tcPr>
          <w:p>
            <w:pPr>
              <w:pStyle w:val="7"/>
              <w:spacing w:line="240" w:lineRule="auto"/>
              <w:ind w:firstLine="0" w:firstLineChars="0"/>
              <w:jc w:val="center"/>
              <w:rPr>
                <w:rFonts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lang w:eastAsia="zh-CN"/>
              </w:rPr>
              <w:t>用地规模</w:t>
            </w:r>
          </w:p>
          <w:p>
            <w:pPr>
              <w:pStyle w:val="7"/>
              <w:spacing w:line="240" w:lineRule="auto"/>
              <w:ind w:firstLine="0" w:firstLineChars="0"/>
              <w:jc w:val="center"/>
              <w:rPr>
                <w:rFonts w:ascii="Times New Roman" w:hAnsi="Times New Roman" w:eastAsia="仿宋_GB2312" w:cs="Times New Roman"/>
                <w:color w:val="auto"/>
                <w:sz w:val="24"/>
                <w:highlight w:val="none"/>
              </w:rPr>
            </w:pPr>
            <w:r>
              <w:rPr>
                <w:rFonts w:ascii="Times New Roman" w:hAnsi="Times New Roman" w:eastAsia="仿宋_GB2312" w:cs="Times New Roman"/>
                <w:color w:val="auto"/>
                <w:spacing w:val="-4"/>
                <w:sz w:val="24"/>
                <w:highlight w:val="none"/>
              </w:rPr>
              <w:t>（平方米）</w:t>
            </w:r>
          </w:p>
        </w:tc>
        <w:tc>
          <w:tcPr>
            <w:tcW w:w="1641" w:type="dxa"/>
            <w:noWrap w:val="0"/>
            <w:vAlign w:val="center"/>
          </w:tcPr>
          <w:p>
            <w:pPr>
              <w:pStyle w:val="7"/>
              <w:spacing w:line="240" w:lineRule="auto"/>
              <w:ind w:firstLine="0" w:firstLineChars="0"/>
              <w:jc w:val="center"/>
              <w:rPr>
                <w:rFonts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lang w:val="en-US" w:eastAsia="zh-CN"/>
              </w:rPr>
              <w:t>地上建筑</w:t>
            </w:r>
            <w:r>
              <w:rPr>
                <w:rFonts w:ascii="Times New Roman" w:hAnsi="Times New Roman" w:eastAsia="仿宋_GB2312" w:cs="Times New Roman"/>
                <w:color w:val="auto"/>
                <w:spacing w:val="-4"/>
                <w:sz w:val="24"/>
                <w:highlight w:val="none"/>
              </w:rPr>
              <w:t>规模</w:t>
            </w:r>
          </w:p>
          <w:p>
            <w:pPr>
              <w:pStyle w:val="7"/>
              <w:spacing w:line="240" w:lineRule="auto"/>
              <w:ind w:firstLine="0" w:firstLineChars="0"/>
              <w:jc w:val="center"/>
              <w:rPr>
                <w:rFonts w:hint="eastAsia" w:ascii="Times New Roman" w:hAnsi="Times New Roman" w:eastAsia="仿宋_GB2312" w:cs="Times New Roman"/>
                <w:color w:val="auto"/>
                <w:sz w:val="24"/>
                <w:highlight w:val="none"/>
              </w:rPr>
            </w:pPr>
            <w:r>
              <w:rPr>
                <w:rFonts w:hint="eastAsia" w:ascii="Times New Roman" w:hAnsi="Times New Roman" w:eastAsia="仿宋_GB2312" w:cs="Times New Roman"/>
                <w:color w:val="auto"/>
                <w:spacing w:val="-4"/>
                <w:sz w:val="24"/>
                <w:highlight w:val="none"/>
                <w:lang w:eastAsia="zh-CN"/>
              </w:rPr>
              <w:t>（</w:t>
            </w:r>
            <w:r>
              <w:rPr>
                <w:rFonts w:ascii="Times New Roman" w:hAnsi="Times New Roman" w:eastAsia="仿宋_GB2312" w:cs="Times New Roman"/>
                <w:color w:val="auto"/>
                <w:spacing w:val="-4"/>
                <w:sz w:val="24"/>
                <w:highlight w:val="none"/>
              </w:rPr>
              <w:t>平方米</w:t>
            </w:r>
            <w:r>
              <w:rPr>
                <w:rFonts w:hint="eastAsia" w:ascii="Times New Roman" w:hAnsi="Times New Roman" w:eastAsia="仿宋_GB2312" w:cs="Times New Roman"/>
                <w:color w:val="auto"/>
                <w:spacing w:val="-4"/>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 w:hRule="atLeast"/>
          <w:jc w:val="center"/>
        </w:trPr>
        <w:tc>
          <w:tcPr>
            <w:tcW w:w="1728" w:type="dxa"/>
            <w:noWrap w:val="0"/>
            <w:vAlign w:val="center"/>
          </w:tcPr>
          <w:p>
            <w:pPr>
              <w:pStyle w:val="6"/>
              <w:spacing w:line="240" w:lineRule="auto"/>
              <w:ind w:left="-20" w:leftChars="-10" w:hanging="1"/>
              <w:jc w:val="center"/>
              <w:rPr>
                <w:rFonts w:ascii="Times New Roman" w:hAnsi="Times New Roman" w:eastAsia="仿宋_GB2312" w:cs="Times New Roman"/>
                <w:color w:val="auto"/>
                <w:spacing w:val="-4"/>
                <w:sz w:val="24"/>
                <w:szCs w:val="24"/>
                <w:highlight w:val="none"/>
              </w:rPr>
            </w:pPr>
            <w:r>
              <w:rPr>
                <w:rFonts w:ascii="Times New Roman" w:hAnsi="Times New Roman" w:eastAsia="仿宋_GB2312" w:cs="Times New Roman"/>
                <w:color w:val="auto"/>
                <w:spacing w:val="-4"/>
                <w:sz w:val="24"/>
                <w:szCs w:val="24"/>
                <w:highlight w:val="none"/>
              </w:rPr>
              <w:t>京土储挂</w:t>
            </w:r>
            <w:r>
              <w:rPr>
                <w:rFonts w:hint="default" w:ascii="Times New Roman" w:hAnsi="Times New Roman" w:eastAsia="仿宋_GB2312" w:cs="Times New Roman"/>
                <w:color w:val="auto"/>
                <w:spacing w:val="-4"/>
                <w:sz w:val="24"/>
                <w:szCs w:val="24"/>
                <w:highlight w:val="none"/>
                <w:lang w:eastAsia="zh-CN"/>
              </w:rPr>
              <w:t>（</w:t>
            </w:r>
            <w:r>
              <w:rPr>
                <w:rFonts w:hint="eastAsia" w:ascii="Times New Roman" w:hAnsi="Times New Roman" w:eastAsia="仿宋_GB2312" w:cs="Times New Roman"/>
                <w:color w:val="auto"/>
                <w:spacing w:val="-4"/>
                <w:sz w:val="24"/>
                <w:szCs w:val="24"/>
                <w:highlight w:val="none"/>
                <w:lang w:eastAsia="zh-CN"/>
              </w:rPr>
              <w:t>顺</w:t>
            </w:r>
            <w:r>
              <w:rPr>
                <w:rFonts w:hint="default" w:ascii="Times New Roman" w:hAnsi="Times New Roman" w:eastAsia="仿宋_GB2312" w:cs="Times New Roman"/>
                <w:color w:val="auto"/>
                <w:spacing w:val="-4"/>
                <w:sz w:val="24"/>
                <w:szCs w:val="24"/>
                <w:highlight w:val="none"/>
                <w:lang w:eastAsia="zh-CN"/>
              </w:rPr>
              <w:t>）</w:t>
            </w:r>
            <w:r>
              <w:rPr>
                <w:rFonts w:ascii="Times New Roman" w:hAnsi="Times New Roman" w:eastAsia="仿宋_GB2312" w:cs="Times New Roman"/>
                <w:color w:val="auto"/>
                <w:spacing w:val="-4"/>
                <w:sz w:val="24"/>
                <w:szCs w:val="24"/>
                <w:highlight w:val="none"/>
              </w:rPr>
              <w:t>[202</w:t>
            </w:r>
            <w:r>
              <w:rPr>
                <w:rFonts w:hint="default" w:ascii="Times New Roman" w:hAnsi="Times New Roman" w:eastAsia="仿宋_GB2312" w:cs="Times New Roman"/>
                <w:color w:val="auto"/>
                <w:spacing w:val="-4"/>
                <w:sz w:val="24"/>
                <w:szCs w:val="24"/>
                <w:highlight w:val="none"/>
                <w:lang w:val="en-US"/>
              </w:rPr>
              <w:t>4</w:t>
            </w:r>
            <w:r>
              <w:rPr>
                <w:rFonts w:ascii="Times New Roman" w:hAnsi="Times New Roman" w:eastAsia="仿宋_GB2312" w:cs="Times New Roman"/>
                <w:color w:val="auto"/>
                <w:spacing w:val="-4"/>
                <w:sz w:val="24"/>
                <w:szCs w:val="24"/>
                <w:highlight w:val="none"/>
              </w:rPr>
              <w:t>]0</w:t>
            </w:r>
            <w:r>
              <w:rPr>
                <w:rFonts w:hint="default" w:ascii="Times New Roman" w:hAnsi="Times New Roman" w:eastAsia="仿宋_GB2312" w:cs="Times New Roman"/>
                <w:color w:val="auto"/>
                <w:spacing w:val="-4"/>
                <w:sz w:val="24"/>
                <w:szCs w:val="24"/>
                <w:highlight w:val="none"/>
                <w:lang w:val="en-US" w:eastAsia="zh-CN"/>
              </w:rPr>
              <w:t>32</w:t>
            </w:r>
            <w:r>
              <w:rPr>
                <w:rFonts w:ascii="Times New Roman" w:hAnsi="Times New Roman" w:eastAsia="仿宋_GB2312" w:cs="Times New Roman"/>
                <w:color w:val="auto"/>
                <w:spacing w:val="-4"/>
                <w:sz w:val="24"/>
                <w:szCs w:val="24"/>
                <w:highlight w:val="none"/>
              </w:rPr>
              <w:t>号</w:t>
            </w:r>
          </w:p>
        </w:tc>
        <w:tc>
          <w:tcPr>
            <w:tcW w:w="1975" w:type="dxa"/>
            <w:noWrap w:val="0"/>
            <w:vAlign w:val="center"/>
          </w:tcPr>
          <w:p>
            <w:pPr>
              <w:spacing w:line="240" w:lineRule="auto"/>
              <w:jc w:val="center"/>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val="en-US" w:eastAsia="zh-CN"/>
              </w:rPr>
              <w:t>R2二类居住用地、A334托幼用地、B1商业用地</w:t>
            </w:r>
          </w:p>
        </w:tc>
        <w:tc>
          <w:tcPr>
            <w:tcW w:w="1279" w:type="dxa"/>
            <w:noWrap w:val="0"/>
            <w:vAlign w:val="center"/>
          </w:tcPr>
          <w:p>
            <w:pPr>
              <w:pStyle w:val="7"/>
              <w:spacing w:line="240" w:lineRule="auto"/>
              <w:ind w:firstLine="0" w:firstLineChars="0"/>
              <w:rPr>
                <w:rFonts w:ascii="Times New Roman" w:hAnsi="Times New Roman" w:eastAsia="仿宋_GB2312" w:cs="Times New Roman"/>
                <w:color w:val="auto"/>
                <w:spacing w:val="-4"/>
                <w:sz w:val="24"/>
                <w:highlight w:val="none"/>
              </w:rPr>
            </w:pPr>
            <w:r>
              <w:rPr>
                <w:rFonts w:ascii="Times New Roman" w:hAnsi="Times New Roman" w:eastAsia="仿宋_GB2312" w:cs="Times New Roman"/>
                <w:color w:val="auto"/>
                <w:spacing w:val="-4"/>
                <w:sz w:val="24"/>
                <w:highlight w:val="none"/>
              </w:rPr>
              <w:t>居住70年</w:t>
            </w:r>
          </w:p>
          <w:p>
            <w:pPr>
              <w:pStyle w:val="7"/>
              <w:spacing w:line="240" w:lineRule="auto"/>
              <w:ind w:firstLine="0" w:firstLineChars="0"/>
              <w:rPr>
                <w:rFonts w:ascii="Times New Roman" w:hAnsi="Times New Roman" w:eastAsia="仿宋_GB2312" w:cs="Times New Roman"/>
                <w:color w:val="auto"/>
                <w:spacing w:val="-4"/>
                <w:sz w:val="24"/>
                <w:highlight w:val="none"/>
              </w:rPr>
            </w:pPr>
            <w:r>
              <w:rPr>
                <w:rFonts w:ascii="Times New Roman" w:hAnsi="Times New Roman" w:eastAsia="仿宋_GB2312" w:cs="Times New Roman"/>
                <w:color w:val="auto"/>
                <w:spacing w:val="-4"/>
                <w:sz w:val="24"/>
                <w:highlight w:val="none"/>
              </w:rPr>
              <w:t>商业40年</w:t>
            </w:r>
          </w:p>
          <w:p>
            <w:pPr>
              <w:pStyle w:val="7"/>
              <w:spacing w:line="240" w:lineRule="auto"/>
              <w:ind w:firstLine="0" w:firstLineChars="0"/>
              <w:rPr>
                <w:rFonts w:ascii="Times New Roman" w:hAnsi="Times New Roman" w:eastAsia="仿宋_GB2312" w:cs="Times New Roman"/>
                <w:color w:val="auto"/>
                <w:spacing w:val="-4"/>
                <w:sz w:val="24"/>
                <w:highlight w:val="none"/>
              </w:rPr>
            </w:pPr>
            <w:r>
              <w:rPr>
                <w:rFonts w:ascii="Times New Roman" w:hAnsi="Times New Roman" w:eastAsia="仿宋_GB2312" w:cs="Times New Roman"/>
                <w:color w:val="auto"/>
                <w:spacing w:val="-4"/>
                <w:sz w:val="24"/>
                <w:highlight w:val="none"/>
              </w:rPr>
              <w:t>办公50年</w:t>
            </w:r>
          </w:p>
        </w:tc>
        <w:tc>
          <w:tcPr>
            <w:tcW w:w="1510" w:type="dxa"/>
            <w:noWrap w:val="0"/>
            <w:vAlign w:val="center"/>
          </w:tcPr>
          <w:p>
            <w:pPr>
              <w:spacing w:line="240" w:lineRule="auto"/>
              <w:jc w:val="center"/>
              <w:rPr>
                <w:rFonts w:ascii="Times New Roman" w:hAnsi="Times New Roman" w:eastAsia="仿宋_GB2312" w:cs="Times New Roman"/>
                <w:color w:val="auto"/>
                <w:sz w:val="24"/>
                <w:highlight w:val="none"/>
                <w:lang w:val="en-US"/>
              </w:rPr>
            </w:pPr>
            <w:r>
              <w:rPr>
                <w:rFonts w:hint="default" w:ascii="Times New Roman" w:hAnsi="Times New Roman" w:eastAsia="仿宋_GB2312" w:cs="Times New Roman"/>
                <w:color w:val="auto"/>
                <w:sz w:val="24"/>
                <w:highlight w:val="none"/>
                <w:lang w:val="en-US"/>
              </w:rPr>
              <w:t>171090.53</w:t>
            </w:r>
          </w:p>
        </w:tc>
        <w:tc>
          <w:tcPr>
            <w:tcW w:w="1641" w:type="dxa"/>
            <w:noWrap w:val="0"/>
            <w:vAlign w:val="center"/>
          </w:tcPr>
          <w:p>
            <w:pPr>
              <w:widowControl/>
              <w:spacing w:line="240" w:lineRule="auto"/>
              <w:jc w:val="center"/>
              <w:textAlignment w:val="center"/>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185879.6</w:t>
            </w:r>
          </w:p>
        </w:tc>
      </w:tr>
    </w:tbl>
    <w:p>
      <w:pPr>
        <w:spacing w:beforeLines="0" w:afterLines="0"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二、挂牌出让起始价为人民币</w:t>
      </w:r>
      <w:r>
        <w:rPr>
          <w:rFonts w:hint="default" w:ascii="Times New Roman" w:hAnsi="Times New Roman" w:eastAsia="仿宋_GB2312" w:cs="Times New Roman"/>
          <w:color w:val="auto"/>
          <w:sz w:val="28"/>
          <w:highlight w:val="none"/>
          <w:lang w:val="en-US"/>
        </w:rPr>
        <w:t>432000</w:t>
      </w:r>
      <w:r>
        <w:rPr>
          <w:rFonts w:hint="default" w:ascii="Times New Roman" w:hAnsi="Times New Roman" w:eastAsia="仿宋_GB2312" w:cs="Times New Roman"/>
          <w:color w:val="auto"/>
          <w:sz w:val="28"/>
          <w:highlight w:val="none"/>
          <w:lang w:eastAsia="zh-CN"/>
        </w:rPr>
        <w:t>万元</w:t>
      </w:r>
      <w:r>
        <w:rPr>
          <w:rFonts w:ascii="Times New Roman" w:hAnsi="Times New Roman" w:eastAsia="仿宋_GB2312" w:cs="Times New Roman"/>
          <w:color w:val="auto"/>
          <w:sz w:val="28"/>
          <w:highlight w:val="none"/>
        </w:rPr>
        <w:t>，竞价阶梯为人民币</w:t>
      </w:r>
      <w:r>
        <w:rPr>
          <w:rFonts w:hint="default" w:ascii="Times New Roman" w:hAnsi="Times New Roman" w:eastAsia="仿宋_GB2312" w:cs="Times New Roman"/>
          <w:color w:val="auto"/>
          <w:sz w:val="28"/>
          <w:highlight w:val="none"/>
          <w:lang w:val="en-US" w:eastAsia="zh-CN"/>
        </w:rPr>
        <w:t>500</w:t>
      </w:r>
      <w:r>
        <w:rPr>
          <w:rFonts w:hint="default" w:ascii="Times New Roman" w:hAnsi="Times New Roman" w:eastAsia="仿宋_GB2312" w:cs="Times New Roman"/>
          <w:color w:val="auto"/>
          <w:sz w:val="28"/>
          <w:highlight w:val="none"/>
          <w:lang w:eastAsia="zh-CN"/>
        </w:rPr>
        <w:t>万元</w:t>
      </w:r>
      <w:r>
        <w:rPr>
          <w:rFonts w:ascii="Times New Roman" w:hAnsi="Times New Roman" w:eastAsia="仿宋_GB2312" w:cs="Times New Roman"/>
          <w:color w:val="auto"/>
          <w:sz w:val="28"/>
          <w:highlight w:val="none"/>
        </w:rPr>
        <w:t>整，竞买保证金为人民币</w:t>
      </w:r>
      <w:r>
        <w:rPr>
          <w:rFonts w:hint="default" w:ascii="Times New Roman" w:hAnsi="Times New Roman" w:eastAsia="仿宋_GB2312" w:cs="Times New Roman"/>
          <w:color w:val="auto"/>
          <w:sz w:val="28"/>
          <w:highlight w:val="none"/>
          <w:lang w:val="en-US" w:eastAsia="zh-CN"/>
        </w:rPr>
        <w:t>86400</w:t>
      </w:r>
      <w:r>
        <w:rPr>
          <w:rFonts w:hint="default" w:ascii="Times New Roman" w:hAnsi="Times New Roman" w:eastAsia="仿宋_GB2312" w:cs="Times New Roman"/>
          <w:color w:val="auto"/>
          <w:sz w:val="28"/>
          <w:highlight w:val="none"/>
          <w:lang w:eastAsia="zh-CN"/>
        </w:rPr>
        <w:t>万元</w:t>
      </w:r>
      <w:r>
        <w:rPr>
          <w:rFonts w:ascii="Times New Roman" w:hAnsi="Times New Roman" w:eastAsia="仿宋_GB2312" w:cs="Times New Roman"/>
          <w:color w:val="auto"/>
          <w:sz w:val="28"/>
          <w:highlight w:val="none"/>
        </w:rPr>
        <w:t>。</w:t>
      </w:r>
    </w:p>
    <w:p>
      <w:pPr>
        <w:spacing w:beforeLines="0" w:afterLines="0" w:line="240" w:lineRule="auto"/>
        <w:ind w:firstLine="560" w:firstLineChars="2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highlight w:val="none"/>
        </w:rPr>
        <w:t>三</w:t>
      </w:r>
      <w:r>
        <w:rPr>
          <w:rFonts w:ascii="Times New Roman" w:hAnsi="Times New Roman" w:eastAsia="仿宋_GB2312" w:cs="Times New Roman"/>
          <w:color w:val="auto"/>
          <w:sz w:val="28"/>
          <w:highlight w:val="none"/>
        </w:rPr>
        <w:t>、</w:t>
      </w:r>
      <w:r>
        <w:rPr>
          <w:rFonts w:hint="default" w:ascii="Times New Roman" w:hAnsi="Times New Roman" w:eastAsia="仿宋_GB2312" w:cs="Times New Roman"/>
          <w:color w:val="auto"/>
          <w:sz w:val="28"/>
          <w:highlight w:val="none"/>
        </w:rPr>
        <w:t>参加竞买的企业须具有房地产开发资质，可以独立竞买也可以联合竞买，联合竞买的联合体各方须同时具有房地产开发资质。</w:t>
      </w:r>
      <w:r>
        <w:rPr>
          <w:rFonts w:hint="default" w:ascii="Times New Roman" w:hAnsi="Times New Roman" w:eastAsia="仿宋_GB2312" w:cs="Times New Roman"/>
          <w:b w:val="0"/>
          <w:bCs w:val="0"/>
          <w:color w:val="auto"/>
          <w:sz w:val="28"/>
          <w:szCs w:val="28"/>
          <w:lang w:val="en-US" w:eastAsia="zh-CN"/>
        </w:rPr>
        <w:t>同一企业及其控股的各个公司不得参加同一宗地的竞买</w:t>
      </w:r>
      <w:r>
        <w:rPr>
          <w:rFonts w:hint="default" w:ascii="Times New Roman" w:hAnsi="Times New Roman" w:eastAsia="仿宋_GB2312" w:cs="Times New Roman"/>
          <w:color w:val="auto"/>
          <w:sz w:val="28"/>
          <w:szCs w:val="28"/>
          <w:highlight w:val="none"/>
          <w:lang w:eastAsia="zh-CN"/>
        </w:rPr>
        <w:t>。</w:t>
      </w:r>
    </w:p>
    <w:p>
      <w:pPr>
        <w:spacing w:beforeLines="0" w:afterLines="0" w:line="240" w:lineRule="auto"/>
        <w:ind w:firstLine="560" w:firstLineChars="2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宗地进入现场摇号环节后，同一集团成员企业仅可有一家参与该宗地的摇号，对于多家成员企业同时报名参与摇号的，以企业缴纳保证金（预申请保证金、竞买保证金）到账时间的先后顺序确定摇号资格。联合竞买的，同一集团成员企业仅可组成一个联合体参与同一宗地摇号。同一集团成员企业包括但不限于：与集团公司存在关联关系的公司（含全资公司、控股公司）。</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四</w:t>
      </w:r>
      <w:r>
        <w:rPr>
          <w:rFonts w:ascii="Times New Roman" w:hAnsi="Times New Roman" w:eastAsia="仿宋_GB2312" w:cs="Times New Roman"/>
          <w:color w:val="auto"/>
          <w:sz w:val="28"/>
          <w:highlight w:val="none"/>
        </w:rPr>
        <w:t>、</w:t>
      </w:r>
      <w:r>
        <w:rPr>
          <w:rFonts w:hint="default" w:ascii="Times New Roman" w:hAnsi="Times New Roman" w:eastAsia="仿宋_GB2312" w:cs="Times New Roman"/>
          <w:color w:val="auto"/>
          <w:sz w:val="28"/>
          <w:highlight w:val="none"/>
        </w:rPr>
        <w:t>本次挂牌出让宗地设定土地合理上限价格</w:t>
      </w:r>
      <w:r>
        <w:rPr>
          <w:rFonts w:hint="default" w:ascii="Times New Roman" w:hAnsi="Times New Roman" w:eastAsia="仿宋_GB2312" w:cs="Times New Roman"/>
          <w:color w:val="auto"/>
          <w:sz w:val="28"/>
          <w:highlight w:val="none"/>
          <w:lang w:val="en-US" w:eastAsia="zh-CN"/>
        </w:rPr>
        <w:t>496800</w:t>
      </w:r>
      <w:r>
        <w:rPr>
          <w:rFonts w:hint="default" w:ascii="Times New Roman" w:hAnsi="Times New Roman" w:eastAsia="仿宋_GB2312" w:cs="Times New Roman"/>
          <w:color w:val="auto"/>
          <w:sz w:val="28"/>
          <w:highlight w:val="none"/>
        </w:rPr>
        <w:t>万元，当竞买报价达到土地合理上限价格时，则不再接受更高报价，转为在此价格的基础上现场竞报“现房销售”面积程序，起始竞报“现房销售”面积为1000平方米，同时本次出让宗地设定有“现房销售”面积上限</w:t>
      </w:r>
      <w:r>
        <w:rPr>
          <w:rFonts w:hint="default" w:ascii="Times New Roman" w:hAnsi="Times New Roman" w:eastAsia="仿宋_GB2312" w:cs="Times New Roman"/>
          <w:color w:val="auto"/>
          <w:sz w:val="28"/>
          <w:highlight w:val="none"/>
          <w:lang w:val="en-US" w:eastAsia="zh-CN"/>
        </w:rPr>
        <w:t>35000</w:t>
      </w:r>
      <w:r>
        <w:rPr>
          <w:rFonts w:hint="default" w:ascii="Times New Roman" w:hAnsi="Times New Roman" w:eastAsia="仿宋_GB2312" w:cs="Times New Roman"/>
          <w:color w:val="auto"/>
          <w:sz w:val="28"/>
          <w:highlight w:val="none"/>
        </w:rPr>
        <w:t>平方米，当现场竞报“现房销售”面积达到设定的上限面积时，转为现场摇号方式确定竞得人，参与现场摇号的竞买人须提交《高标准住宅建设承诺书》。</w:t>
      </w:r>
    </w:p>
    <w:p>
      <w:pPr>
        <w:spacing w:beforeLines="0" w:afterLines="0" w:line="240" w:lineRule="auto"/>
        <w:ind w:firstLine="560" w:firstLineChars="200"/>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highlight w:val="none"/>
        </w:rPr>
        <w:t>五、若宗地进入竞报“现房销售”面积阶段，并竞报出“现房销售”面积，“</w:t>
      </w:r>
      <w:r>
        <w:rPr>
          <w:rFonts w:hint="default" w:ascii="Times New Roman" w:hAnsi="Times New Roman" w:eastAsia="仿宋_GB2312" w:cs="Times New Roman"/>
          <w:color w:val="auto"/>
          <w:sz w:val="28"/>
          <w:szCs w:val="28"/>
          <w:highlight w:val="none"/>
        </w:rPr>
        <w:t>现房销售</w:t>
      </w:r>
      <w:r>
        <w:rPr>
          <w:rFonts w:hint="default" w:ascii="Times New Roman" w:hAnsi="Times New Roman" w:eastAsia="仿宋_GB2312" w:cs="Times New Roman"/>
          <w:color w:val="auto"/>
          <w:sz w:val="28"/>
          <w:highlight w:val="none"/>
        </w:rPr>
        <w:t>”</w:t>
      </w:r>
      <w:r>
        <w:rPr>
          <w:rFonts w:hint="default" w:ascii="Times New Roman" w:hAnsi="Times New Roman" w:eastAsia="仿宋_GB2312" w:cs="Times New Roman"/>
          <w:color w:val="auto"/>
          <w:sz w:val="28"/>
          <w:szCs w:val="28"/>
          <w:highlight w:val="none"/>
        </w:rPr>
        <w:t>标准按照</w:t>
      </w:r>
      <w:r>
        <w:rPr>
          <w:rFonts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rPr>
        <w:t>商品房</w:t>
      </w:r>
      <w:r>
        <w:rPr>
          <w:rFonts w:ascii="Times New Roman" w:hAnsi="Times New Roman" w:eastAsia="仿宋_GB2312" w:cs="Times New Roman"/>
          <w:color w:val="auto"/>
          <w:sz w:val="28"/>
          <w:szCs w:val="28"/>
          <w:highlight w:val="none"/>
        </w:rPr>
        <w:t>销售管理办法》</w:t>
      </w:r>
      <w:r>
        <w:rPr>
          <w:rFonts w:hint="default" w:ascii="Times New Roman" w:hAnsi="Times New Roman" w:eastAsia="仿宋_GB2312" w:cs="Times New Roman"/>
          <w:color w:val="auto"/>
          <w:sz w:val="28"/>
          <w:szCs w:val="28"/>
          <w:highlight w:val="none"/>
        </w:rPr>
        <w:t>（</w:t>
      </w:r>
      <w:r>
        <w:rPr>
          <w:rFonts w:ascii="Times New Roman" w:hAnsi="Times New Roman" w:eastAsia="仿宋_GB2312" w:cs="Times New Roman"/>
          <w:color w:val="auto"/>
          <w:sz w:val="28"/>
          <w:szCs w:val="28"/>
          <w:highlight w:val="none"/>
        </w:rPr>
        <w:t>建设部令第</w:t>
      </w:r>
      <w:r>
        <w:rPr>
          <w:rFonts w:hint="default" w:ascii="Times New Roman" w:hAnsi="Times New Roman" w:eastAsia="仿宋_GB2312" w:cs="Times New Roman"/>
          <w:color w:val="auto"/>
          <w:sz w:val="28"/>
          <w:szCs w:val="28"/>
          <w:highlight w:val="none"/>
        </w:rPr>
        <w:t>88号）执行，“现房销售”</w:t>
      </w:r>
      <w:r>
        <w:rPr>
          <w:rFonts w:ascii="Times New Roman" w:hAnsi="Times New Roman" w:eastAsia="仿宋_GB2312" w:cs="Times New Roman"/>
          <w:color w:val="auto"/>
          <w:sz w:val="28"/>
          <w:szCs w:val="28"/>
          <w:highlight w:val="none"/>
        </w:rPr>
        <w:t>面积按地上出让住宅部分计算，所在楼栋需整栋现房销售。</w:t>
      </w:r>
    </w:p>
    <w:p>
      <w:pPr>
        <w:spacing w:beforeLines="0" w:afterLines="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六、竞买人参与宗地出让活动所交竞买保证金及竞得后需支付的全部地价款均为竞买人合规自有资金，不属于股东违规提供借款、转贷、担保或其他相关融资便利；不属于直接或间接使用金融机构各类融资资金；不属于使用房地产产业链上下游关联企业借款或预付款；不属于使用其他自然人、法人、非法人组织的借款；不属于使用参与竞买企业控制的非房地产企业融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七、竞得人或竞买人有下列行为之一，视为违约：</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（一）</w:t>
      </w:r>
      <w:r>
        <w:rPr>
          <w:rFonts w:hint="default" w:ascii="Times New Roman" w:hAnsi="Times New Roman" w:eastAsia="仿宋_GB2312" w:cs="Times New Roman"/>
          <w:color w:val="auto"/>
          <w:sz w:val="28"/>
          <w:highlight w:val="none"/>
        </w:rPr>
        <w:t xml:space="preserve">在宗地竞买期限内要求撤回其竞买报价的; </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（二）</w:t>
      </w:r>
      <w:r>
        <w:rPr>
          <w:rFonts w:hint="default" w:ascii="Times New Roman" w:hAnsi="Times New Roman" w:eastAsia="仿宋_GB2312" w:cs="Times New Roman"/>
          <w:color w:val="auto"/>
          <w:sz w:val="28"/>
          <w:highlight w:val="none"/>
        </w:rPr>
        <w:t>提供虚假证明文件或隐瞒事实的；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（三）</w:t>
      </w:r>
      <w:r>
        <w:rPr>
          <w:rFonts w:hint="default" w:ascii="Times New Roman" w:hAnsi="Times New Roman" w:eastAsia="仿宋_GB2312" w:cs="Times New Roman"/>
          <w:color w:val="auto"/>
          <w:sz w:val="28"/>
          <w:highlight w:val="none"/>
        </w:rPr>
        <w:t>逾期未签订《国有建设用地使用权出让合同》的（若逾期未签订以上有关合同是由于不可抗力造成的，则本条款不适用）；</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所交竞买保证金及竞得后支付的全部地价款资金来源与承诺不符或违反规定的，或者不配合相关部门对其地价款来源进行取证、审查等工作的；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未遵守本挂牌交易文件的其他有关规定的。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竞买人或竞得人有上述任一违约行为的，出让人可取消其竞买或竞得资格。竞买人或竞得人须承担相应的经济责任和法律责任，造成损失的，应负赔偿责任。尚未签订《国有建设用地使用权出让合同》的竞得人所交纳的保证金不予退还，已签订《国有建设用地使用权出让合同》的竞得人须以不少于出让宗地保证金金额承担违约责任，同时出让人有权收回出让宗地的国有建设用地使用权，竞得人一年内不得参加北京市土地竞买活动，出让人将竞得人违约行为及处理结果向社会公告。</w:t>
      </w:r>
    </w:p>
    <w:p>
      <w:pPr>
        <w:spacing w:beforeLines="0" w:afterLines="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八</w:t>
      </w:r>
      <w:r>
        <w:rPr>
          <w:rFonts w:ascii="Times New Roman" w:hAnsi="Times New Roman" w:eastAsia="仿宋_GB2312" w:cs="Times New Roman"/>
          <w:color w:val="auto"/>
          <w:sz w:val="28"/>
          <w:highlight w:val="none"/>
        </w:rPr>
        <w:t>、</w:t>
      </w:r>
      <w:r>
        <w:rPr>
          <w:rFonts w:hint="default" w:ascii="Times New Roman" w:hAnsi="Times New Roman" w:eastAsia="仿宋_GB2312" w:cs="Times New Roman"/>
          <w:color w:val="auto"/>
          <w:sz w:val="28"/>
          <w:highlight w:val="none"/>
        </w:rPr>
        <w:t>本次挂牌出让竞买申请起始时间为202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lang w:val="en-US" w:eastAsia="zh-CN"/>
        </w:rPr>
        <w:t>8</w:t>
      </w:r>
      <w:r>
        <w:rPr>
          <w:rFonts w:hint="default" w:ascii="Times New Roman" w:hAnsi="Times New Roman" w:eastAsia="仿宋_GB2312" w:cs="Times New Roman"/>
          <w:color w:val="auto"/>
          <w:sz w:val="28"/>
          <w:highlight w:val="none"/>
          <w:lang w:eastAsia="zh-CN"/>
        </w:rPr>
        <w:t>月</w:t>
      </w:r>
      <w:r>
        <w:rPr>
          <w:rFonts w:hint="default" w:ascii="Times New Roman" w:hAnsi="Times New Roman" w:eastAsia="仿宋_GB2312" w:cs="Times New Roman"/>
          <w:color w:val="auto"/>
          <w:sz w:val="28"/>
          <w:highlight w:val="none"/>
          <w:lang w:val="en-US" w:eastAsia="zh-CN"/>
        </w:rPr>
        <w:t>9</w:t>
      </w:r>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9：00时起，竞买申请截止时间为202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lang w:val="en-US" w:eastAsia="zh-CN"/>
        </w:rPr>
        <w:t>9</w:t>
      </w:r>
      <w:r>
        <w:rPr>
          <w:rFonts w:hint="default" w:ascii="Times New Roman" w:hAnsi="Times New Roman" w:eastAsia="仿宋_GB2312" w:cs="Times New Roman"/>
          <w:color w:val="auto"/>
          <w:sz w:val="28"/>
          <w:highlight w:val="none"/>
          <w:lang w:eastAsia="zh-CN"/>
        </w:rPr>
        <w:t>月</w:t>
      </w:r>
      <w:r>
        <w:rPr>
          <w:rFonts w:hint="default" w:ascii="Times New Roman" w:hAnsi="Times New Roman" w:eastAsia="仿宋_GB2312" w:cs="Times New Roman"/>
          <w:color w:val="auto"/>
          <w:sz w:val="28"/>
          <w:highlight w:val="none"/>
          <w:lang w:val="en-US" w:eastAsia="zh-CN"/>
        </w:rPr>
        <w:t>11</w:t>
      </w:r>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1</w:t>
      </w:r>
      <w:r>
        <w:rPr>
          <w:rFonts w:hint="default" w:ascii="Times New Roman" w:hAnsi="Times New Roman" w:eastAsia="仿宋_GB2312" w:cs="Times New Roman"/>
          <w:color w:val="auto"/>
          <w:sz w:val="28"/>
          <w:highlight w:val="none"/>
          <w:lang w:val="en-US" w:eastAsia="zh-CN"/>
        </w:rPr>
        <w:t>7</w:t>
      </w:r>
      <w:r>
        <w:rPr>
          <w:rFonts w:hint="default" w:ascii="Times New Roman" w:hAnsi="Times New Roman" w:eastAsia="仿宋_GB2312" w:cs="Times New Roman"/>
          <w:color w:val="auto"/>
          <w:sz w:val="28"/>
          <w:highlight w:val="none"/>
        </w:rPr>
        <w:t>：00时止；挂牌竞价起始时间为202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lang w:val="en-US"/>
        </w:rPr>
        <w:t>8</w:t>
      </w:r>
      <w:r>
        <w:rPr>
          <w:rFonts w:hint="default" w:ascii="Times New Roman" w:hAnsi="Times New Roman" w:eastAsia="仿宋_GB2312" w:cs="Times New Roman"/>
          <w:color w:val="auto"/>
          <w:sz w:val="28"/>
          <w:highlight w:val="none"/>
          <w:lang w:eastAsia="zh-CN"/>
        </w:rPr>
        <w:t>月</w:t>
      </w:r>
      <w:r>
        <w:rPr>
          <w:rFonts w:hint="default" w:ascii="Times New Roman" w:hAnsi="Times New Roman" w:eastAsia="仿宋_GB2312" w:cs="Times New Roman"/>
          <w:color w:val="auto"/>
          <w:sz w:val="28"/>
          <w:highlight w:val="none"/>
          <w:lang w:val="en-US" w:eastAsia="zh-CN"/>
        </w:rPr>
        <w:t>29</w:t>
      </w:r>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9：00时起，挂牌竞价截止时间为202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lang w:val="en-US" w:eastAsia="zh-CN"/>
        </w:rPr>
        <w:t>9</w:t>
      </w:r>
      <w:r>
        <w:rPr>
          <w:rFonts w:hint="default" w:ascii="Times New Roman" w:hAnsi="Times New Roman" w:eastAsia="仿宋_GB2312" w:cs="Times New Roman"/>
          <w:color w:val="auto"/>
          <w:sz w:val="28"/>
          <w:highlight w:val="none"/>
          <w:lang w:eastAsia="zh-CN"/>
        </w:rPr>
        <w:t>月</w:t>
      </w:r>
      <w:r>
        <w:rPr>
          <w:rFonts w:hint="default" w:ascii="Times New Roman" w:hAnsi="Times New Roman" w:eastAsia="仿宋_GB2312" w:cs="Times New Roman"/>
          <w:color w:val="auto"/>
          <w:sz w:val="28"/>
          <w:highlight w:val="none"/>
          <w:lang w:val="en-US" w:eastAsia="zh-CN"/>
        </w:rPr>
        <w:t>12</w:t>
      </w:r>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15：00时止</w:t>
      </w:r>
      <w:r>
        <w:rPr>
          <w:rFonts w:ascii="Times New Roman" w:hAnsi="Times New Roman" w:eastAsia="仿宋_GB2312" w:cs="Times New Roman"/>
          <w:color w:val="auto"/>
          <w:sz w:val="28"/>
          <w:highlight w:val="none"/>
        </w:rPr>
        <w:t>。</w:t>
      </w:r>
    </w:p>
    <w:p>
      <w:pPr>
        <w:spacing w:beforeLines="0" w:afterLines="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九</w:t>
      </w:r>
      <w:r>
        <w:rPr>
          <w:rFonts w:ascii="Times New Roman" w:hAnsi="Times New Roman" w:eastAsia="仿宋_GB2312" w:cs="Times New Roman"/>
          <w:color w:val="auto"/>
          <w:sz w:val="28"/>
          <w:highlight w:val="none"/>
        </w:rPr>
        <w:t>、本次挂牌不接受电话、邮寄及口头报价。</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十</w:t>
      </w:r>
      <w:r>
        <w:rPr>
          <w:rFonts w:ascii="Times New Roman" w:hAnsi="Times New Roman" w:eastAsia="仿宋_GB2312" w:cs="Times New Roman"/>
          <w:color w:val="auto"/>
          <w:sz w:val="28"/>
          <w:highlight w:val="none"/>
        </w:rPr>
        <w:t>、本次挂牌出让的详细资料和竞买要求请参阅有关挂牌文件。挂牌文件于202</w:t>
      </w:r>
      <w:r>
        <w:rPr>
          <w:rFonts w:hint="default" w:ascii="Times New Roman" w:hAnsi="Times New Roman" w:eastAsia="仿宋_GB2312" w:cs="Times New Roman"/>
          <w:color w:val="auto"/>
          <w:sz w:val="28"/>
          <w:highlight w:val="none"/>
          <w:lang w:val="en-US"/>
        </w:rPr>
        <w:t>4</w:t>
      </w:r>
      <w:r>
        <w:rPr>
          <w:rFonts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lang w:val="en-US"/>
        </w:rPr>
        <w:t>8</w:t>
      </w:r>
      <w:r>
        <w:rPr>
          <w:rFonts w:hint="default" w:ascii="Times New Roman" w:hAnsi="Times New Roman" w:eastAsia="仿宋_GB2312" w:cs="Times New Roman"/>
          <w:color w:val="auto"/>
          <w:sz w:val="28"/>
          <w:highlight w:val="none"/>
          <w:lang w:eastAsia="zh-CN"/>
        </w:rPr>
        <w:t>月</w:t>
      </w:r>
      <w:r>
        <w:rPr>
          <w:rFonts w:hint="default" w:ascii="Times New Roman" w:hAnsi="Times New Roman" w:eastAsia="仿宋_GB2312" w:cs="Times New Roman"/>
          <w:color w:val="auto"/>
          <w:sz w:val="28"/>
          <w:highlight w:val="none"/>
          <w:lang w:val="en-US" w:eastAsia="zh-CN"/>
        </w:rPr>
        <w:t>9</w:t>
      </w:r>
      <w:bookmarkStart w:id="4" w:name="_GoBack"/>
      <w:bookmarkEnd w:id="4"/>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9:00</w:t>
      </w:r>
      <w:r>
        <w:rPr>
          <w:rFonts w:ascii="Times New Roman" w:hAnsi="Times New Roman" w:eastAsia="仿宋_GB2312" w:cs="Times New Roman"/>
          <w:color w:val="auto"/>
          <w:sz w:val="28"/>
          <w:highlight w:val="none"/>
        </w:rPr>
        <w:t>起</w:t>
      </w:r>
      <w:r>
        <w:rPr>
          <w:rFonts w:hint="default" w:ascii="Times New Roman" w:hAnsi="Times New Roman" w:eastAsia="仿宋_GB2312" w:cs="Times New Roman"/>
          <w:color w:val="auto"/>
          <w:sz w:val="28"/>
          <w:highlight w:val="none"/>
        </w:rPr>
        <w:t>，可在北京市规划和自然资源委员会网站（http://</w:t>
      </w:r>
      <w:r>
        <w:rPr>
          <w:rFonts w:ascii="Times New Roman" w:hAnsi="Times New Roman" w:eastAsia="仿宋_GB2312" w:cs="Times New Roman"/>
          <w:color w:val="auto"/>
          <w:sz w:val="28"/>
          <w:highlight w:val="none"/>
        </w:rPr>
        <w:t>ghzrzyw.beijing.gov.cn</w:t>
      </w:r>
      <w:r>
        <w:rPr>
          <w:rFonts w:hint="default" w:ascii="Times New Roman" w:hAnsi="Times New Roman" w:eastAsia="仿宋_GB2312" w:cs="Times New Roman"/>
          <w:color w:val="auto"/>
          <w:sz w:val="28"/>
          <w:highlight w:val="none"/>
        </w:rPr>
        <w:t>）</w:t>
      </w:r>
      <w:r>
        <w:rPr>
          <w:rFonts w:hint="default" w:ascii="Times New Roman" w:hAnsi="Times New Roman" w:eastAsia="仿宋_GB2312" w:cs="Times New Roman"/>
          <w:color w:val="auto"/>
          <w:sz w:val="28"/>
          <w:highlight w:val="none"/>
          <w:lang w:eastAsia="zh-CN"/>
        </w:rPr>
        <w:t>或北京市公共资源交易服务平台网站（</w:t>
      </w:r>
      <w:r>
        <w:rPr>
          <w:rFonts w:hint="default" w:ascii="Times New Roman" w:hAnsi="Times New Roman" w:eastAsia="仿宋_GB2312" w:cs="Times New Roman"/>
          <w:color w:val="auto"/>
          <w:sz w:val="28"/>
          <w:highlight w:val="none"/>
        </w:rPr>
        <w:t>http://</w:t>
      </w:r>
      <w:r>
        <w:rPr>
          <w:rFonts w:ascii="Times New Roman" w:hAnsi="Times New Roman" w:eastAsia="仿宋_GB2312" w:cs="Times New Roman"/>
          <w:color w:val="auto"/>
          <w:sz w:val="28"/>
          <w:highlight w:val="none"/>
        </w:rPr>
        <w:t>g</w:t>
      </w:r>
      <w:r>
        <w:rPr>
          <w:rFonts w:hint="default" w:ascii="Times New Roman" w:hAnsi="Times New Roman" w:eastAsia="仿宋_GB2312" w:cs="Times New Roman"/>
          <w:color w:val="auto"/>
          <w:sz w:val="28"/>
          <w:highlight w:val="none"/>
          <w:lang w:val="en-US" w:eastAsia="zh-CN"/>
        </w:rPr>
        <w:t>gzyf</w:t>
      </w:r>
      <w:r>
        <w:rPr>
          <w:rFonts w:ascii="Times New Roman" w:hAnsi="Times New Roman" w:eastAsia="仿宋_GB2312" w:cs="Times New Roman"/>
          <w:color w:val="auto"/>
          <w:sz w:val="28"/>
          <w:highlight w:val="none"/>
        </w:rPr>
        <w:t>w.beijing.gov.cn</w:t>
      </w:r>
      <w:r>
        <w:rPr>
          <w:rFonts w:hint="default" w:ascii="Times New Roman" w:hAnsi="Times New Roman" w:eastAsia="仿宋_GB2312" w:cs="Times New Roman"/>
          <w:color w:val="auto"/>
          <w:sz w:val="28"/>
          <w:highlight w:val="none"/>
          <w:lang w:eastAsia="zh-CN"/>
        </w:rPr>
        <w:t>）</w:t>
      </w:r>
      <w:r>
        <w:rPr>
          <w:rFonts w:ascii="Times New Roman" w:hAnsi="Times New Roman" w:eastAsia="仿宋_GB2312" w:cs="Times New Roman"/>
          <w:color w:val="auto"/>
          <w:sz w:val="28"/>
          <w:highlight w:val="none"/>
        </w:rPr>
        <w:t>下载。</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十一、房屋销售价格查询方式</w:t>
      </w:r>
    </w:p>
    <w:p>
      <w:pPr>
        <w:pStyle w:val="5"/>
        <w:tabs>
          <w:tab w:val="left" w:pos="1429"/>
          <w:tab w:val="left" w:pos="1785"/>
        </w:tabs>
        <w:spacing w:before="0" w:beforeLines="0" w:after="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竞买人提交的《房屋售价承诺书》涉及的商品房销售均价，可向北京市住房和城乡建设委员会电话咨询，时间202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lang w:val="en-US" w:eastAsia="zh-CN"/>
        </w:rPr>
        <w:t>8</w:t>
      </w:r>
      <w:r>
        <w:rPr>
          <w:rFonts w:hint="default" w:ascii="Times New Roman" w:hAnsi="Times New Roman" w:eastAsia="仿宋_GB2312" w:cs="Times New Roman"/>
          <w:color w:val="auto"/>
          <w:sz w:val="28"/>
          <w:highlight w:val="none"/>
          <w:lang w:eastAsia="zh-CN"/>
        </w:rPr>
        <w:t>月</w:t>
      </w:r>
      <w:r>
        <w:rPr>
          <w:rFonts w:hint="default" w:ascii="Times New Roman" w:hAnsi="Times New Roman" w:eastAsia="仿宋_GB2312" w:cs="Times New Roman"/>
          <w:color w:val="auto"/>
          <w:sz w:val="28"/>
          <w:highlight w:val="none"/>
          <w:lang w:val="en-US" w:eastAsia="zh-CN"/>
        </w:rPr>
        <w:t>9</w:t>
      </w:r>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lang w:val="en-US" w:eastAsia="zh-CN"/>
        </w:rPr>
        <w:t>9</w:t>
      </w:r>
      <w:r>
        <w:rPr>
          <w:rFonts w:hint="default" w:ascii="Times New Roman" w:hAnsi="Times New Roman" w:eastAsia="仿宋_GB2312" w:cs="Times New Roman"/>
          <w:color w:val="auto"/>
          <w:sz w:val="28"/>
          <w:highlight w:val="none"/>
        </w:rPr>
        <w:t>月</w:t>
      </w:r>
      <w:r>
        <w:rPr>
          <w:rFonts w:hint="default" w:ascii="Times New Roman" w:hAnsi="Times New Roman" w:eastAsia="仿宋_GB2312" w:cs="Times New Roman"/>
          <w:color w:val="auto"/>
          <w:sz w:val="28"/>
          <w:highlight w:val="none"/>
          <w:lang w:val="en-US"/>
        </w:rPr>
        <w:t>11</w:t>
      </w:r>
      <w:r>
        <w:rPr>
          <w:rFonts w:hint="default" w:ascii="Times New Roman" w:hAnsi="Times New Roman" w:eastAsia="仿宋_GB2312" w:cs="Times New Roman"/>
          <w:color w:val="auto"/>
          <w:sz w:val="28"/>
          <w:highlight w:val="none"/>
        </w:rPr>
        <w:t>日，每工作日上午9:30-12:00，下午14:30-17:00，电话：010-55597352、010-55597351。</w:t>
      </w:r>
    </w:p>
    <w:p>
      <w:pPr>
        <w:pStyle w:val="5"/>
        <w:tabs>
          <w:tab w:val="left" w:pos="1429"/>
          <w:tab w:val="left" w:pos="1785"/>
        </w:tabs>
        <w:spacing w:before="0" w:beforeLines="0" w:after="0" w:afterLines="0" w:line="240" w:lineRule="auto"/>
        <w:ind w:firstLine="560" w:firstLineChars="200"/>
        <w:rPr>
          <w:rFonts w:hint="default" w:ascii="Times New Roman" w:hAnsi="Times New Roman" w:eastAsia="仿宋_GB2312" w:cs="Times New Roman"/>
          <w:color w:val="auto"/>
          <w:sz w:val="28"/>
          <w:highlight w:val="none"/>
          <w:lang w:eastAsia="zh-CN"/>
        </w:rPr>
      </w:pPr>
      <w:r>
        <w:rPr>
          <w:rFonts w:hint="eastAsia" w:ascii="Times New Roman" w:hAnsi="Times New Roman" w:eastAsia="仿宋_GB2312" w:cs="Times New Roman"/>
          <w:color w:val="auto"/>
          <w:sz w:val="28"/>
          <w:highlight w:val="none"/>
          <w:lang w:eastAsia="zh-CN"/>
        </w:rPr>
        <w:t>十二、</w:t>
      </w:r>
      <w:r>
        <w:rPr>
          <w:rFonts w:hint="default" w:ascii="Times New Roman" w:hAnsi="Times New Roman" w:eastAsia="仿宋_GB2312" w:cs="Times New Roman"/>
          <w:color w:val="auto"/>
          <w:sz w:val="28"/>
          <w:highlight w:val="none"/>
          <w:lang w:eastAsia="zh-CN"/>
        </w:rPr>
        <w:t>联系方式</w:t>
      </w:r>
    </w:p>
    <w:p>
      <w:pPr>
        <w:pStyle w:val="5"/>
        <w:spacing w:beforeLines="0" w:after="0" w:afterLines="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（一）</w:t>
      </w:r>
      <w:r>
        <w:rPr>
          <w:rFonts w:hint="default" w:ascii="Times New Roman" w:hAnsi="Times New Roman" w:eastAsia="仿宋_GB2312" w:cs="Times New Roman"/>
          <w:color w:val="auto"/>
          <w:sz w:val="28"/>
          <w:highlight w:val="none"/>
          <w:lang w:val="en-US" w:eastAsia="zh-CN"/>
        </w:rPr>
        <w:t>北京市规划和自然资源委员会</w:t>
      </w:r>
    </w:p>
    <w:p>
      <w:pPr>
        <w:pStyle w:val="5"/>
        <w:spacing w:beforeLines="0" w:after="0" w:afterLines="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联系方式（项目咨询）：010-55595193、55595198</w:t>
      </w:r>
    </w:p>
    <w:p>
      <w:pPr>
        <w:pStyle w:val="5"/>
        <w:spacing w:beforeLines="0" w:after="0" w:afterLines="0" w:line="240" w:lineRule="auto"/>
        <w:ind w:firstLine="560" w:firstLineChars="200"/>
        <w:rPr>
          <w:rFonts w:hint="default" w:ascii="Times New Roman" w:hAnsi="Times New Roman" w:eastAsia="仿宋_GB2312" w:cs="Times New Roman"/>
          <w:color w:val="auto"/>
          <w:kern w:val="2"/>
          <w:sz w:val="28"/>
          <w:szCs w:val="24"/>
          <w:highlight w:val="none"/>
          <w:lang w:val="en-US" w:eastAsia="zh-CN" w:bidi="ar-SA"/>
        </w:rPr>
      </w:pPr>
      <w:r>
        <w:rPr>
          <w:rFonts w:hint="default" w:ascii="Times New Roman" w:hAnsi="Times New Roman" w:eastAsia="仿宋_GB2312" w:cs="Times New Roman"/>
          <w:color w:val="auto"/>
          <w:kern w:val="2"/>
          <w:sz w:val="28"/>
          <w:szCs w:val="24"/>
          <w:highlight w:val="none"/>
          <w:lang w:val="en-US" w:eastAsia="zh-CN" w:bidi="ar-SA"/>
        </w:rPr>
        <w:t>联系方式（竞买保证金事宜咨询）：010-55595170</w:t>
      </w:r>
    </w:p>
    <w:p>
      <w:pPr>
        <w:pStyle w:val="5"/>
        <w:spacing w:beforeLines="0" w:after="0" w:afterLines="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kern w:val="2"/>
          <w:sz w:val="28"/>
          <w:szCs w:val="24"/>
          <w:highlight w:val="none"/>
          <w:lang w:val="en-US" w:eastAsia="zh-CN" w:bidi="ar-SA"/>
        </w:rPr>
        <w:t>联系方式（出让合同签订）：010-55595262；55595359</w:t>
      </w:r>
    </w:p>
    <w:p>
      <w:pPr>
        <w:pStyle w:val="5"/>
        <w:spacing w:beforeLines="0" w:after="0" w:afterLines="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地址：北京市通州区承安路1号院</w:t>
      </w:r>
    </w:p>
    <w:p>
      <w:pPr>
        <w:pStyle w:val="5"/>
        <w:spacing w:beforeLines="0" w:after="0" w:afterLines="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（二）</w:t>
      </w:r>
      <w:r>
        <w:rPr>
          <w:rFonts w:hint="default" w:ascii="Times New Roman" w:hAnsi="Times New Roman" w:eastAsia="仿宋_GB2312" w:cs="Times New Roman"/>
          <w:color w:val="auto"/>
          <w:sz w:val="28"/>
          <w:highlight w:val="none"/>
          <w:lang w:val="en-US" w:eastAsia="zh-CN"/>
        </w:rPr>
        <w:t>北京市公共资源交易中心</w:t>
      </w:r>
    </w:p>
    <w:p>
      <w:pPr>
        <w:pStyle w:val="5"/>
        <w:spacing w:beforeLines="0" w:after="0" w:afterLines="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联系方式（交易咨询）：010-</w:t>
      </w:r>
      <w:r>
        <w:rPr>
          <w:rFonts w:ascii="Times New Roman" w:hAnsi="Times New Roman" w:eastAsia="仿宋_GB2312" w:cs="Times New Roman"/>
          <w:color w:val="auto"/>
          <w:sz w:val="28"/>
          <w:highlight w:val="none"/>
          <w:lang w:val="en-US" w:eastAsia="zh-CN"/>
        </w:rPr>
        <w:t>83916783</w:t>
      </w:r>
      <w:r>
        <w:rPr>
          <w:rFonts w:hint="default" w:ascii="Times New Roman" w:hAnsi="Times New Roman" w:eastAsia="仿宋_GB2312" w:cs="Times New Roman"/>
          <w:color w:val="auto"/>
          <w:sz w:val="28"/>
          <w:highlight w:val="none"/>
          <w:lang w:val="en-US" w:eastAsia="zh-CN"/>
        </w:rPr>
        <w:t>、</w:t>
      </w:r>
      <w:r>
        <w:rPr>
          <w:rFonts w:ascii="Times New Roman" w:hAnsi="Times New Roman" w:eastAsia="仿宋_GB2312" w:cs="Times New Roman"/>
          <w:color w:val="auto"/>
          <w:sz w:val="28"/>
          <w:highlight w:val="none"/>
          <w:lang w:val="en-US" w:eastAsia="zh-CN"/>
        </w:rPr>
        <w:t>83916781</w:t>
      </w:r>
    </w:p>
    <w:p>
      <w:pPr>
        <w:pStyle w:val="5"/>
        <w:spacing w:beforeLines="0" w:after="0" w:afterLines="0"/>
        <w:ind w:firstLine="560" w:firstLineChars="200"/>
        <w:rPr>
          <w:rFonts w:hint="default" w:ascii="Times New Roman" w:hAnsi="Times New Roman" w:eastAsia="仿宋_GB2312" w:cs="Times New Roman"/>
          <w:color w:val="auto"/>
          <w:kern w:val="2"/>
          <w:sz w:val="28"/>
          <w:szCs w:val="24"/>
          <w:highlight w:val="none"/>
          <w:lang w:val="en-US" w:eastAsia="zh-CN" w:bidi="ar-SA"/>
        </w:rPr>
      </w:pPr>
      <w:r>
        <w:rPr>
          <w:rFonts w:hint="default" w:ascii="Times New Roman" w:hAnsi="Times New Roman" w:eastAsia="仿宋_GB2312" w:cs="Times New Roman"/>
          <w:color w:val="auto"/>
          <w:kern w:val="2"/>
          <w:sz w:val="28"/>
          <w:szCs w:val="24"/>
          <w:highlight w:val="none"/>
          <w:lang w:val="en-US" w:eastAsia="zh-CN" w:bidi="ar-SA"/>
        </w:rPr>
        <w:t>地址：北京市西三环南路1号北京市政务服务中心5层</w:t>
      </w:r>
    </w:p>
    <w:p>
      <w:pPr>
        <w:spacing w:beforeLines="0" w:afterLines="0" w:line="240" w:lineRule="auto"/>
        <w:ind w:right="0" w:firstLine="560" w:firstLineChars="200"/>
        <w:jc w:val="left"/>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（三）</w:t>
      </w:r>
      <w:r>
        <w:rPr>
          <w:rFonts w:hint="default" w:ascii="Times New Roman" w:hAnsi="Times New Roman" w:eastAsia="仿宋_GB2312" w:cs="Times New Roman"/>
          <w:color w:val="auto"/>
          <w:sz w:val="28"/>
          <w:highlight w:val="none"/>
          <w:lang w:val="en-US" w:eastAsia="zh-CN"/>
        </w:rPr>
        <w:t>北京市</w:t>
      </w:r>
      <w:r>
        <w:rPr>
          <w:rFonts w:hint="eastAsia" w:ascii="Times New Roman" w:hAnsi="Times New Roman" w:eastAsia="仿宋_GB2312" w:cs="Times New Roman"/>
          <w:color w:val="auto"/>
          <w:sz w:val="28"/>
          <w:highlight w:val="none"/>
          <w:lang w:val="en-US" w:eastAsia="zh-CN"/>
        </w:rPr>
        <w:t>顺义</w:t>
      </w:r>
      <w:r>
        <w:rPr>
          <w:rFonts w:hint="default" w:ascii="Times New Roman" w:hAnsi="Times New Roman" w:eastAsia="仿宋_GB2312" w:cs="Times New Roman"/>
          <w:color w:val="auto"/>
          <w:sz w:val="28"/>
          <w:highlight w:val="none"/>
          <w:lang w:val="en-US" w:eastAsia="zh-CN"/>
        </w:rPr>
        <w:t>区规划和自然资源综合事务中心</w:t>
      </w:r>
    </w:p>
    <w:p>
      <w:pPr>
        <w:spacing w:beforeLines="0" w:afterLines="0" w:line="240" w:lineRule="auto"/>
        <w:ind w:right="0" w:firstLine="560" w:firstLineChars="200"/>
        <w:jc w:val="left"/>
        <w:rPr>
          <w:rFonts w:hint="default" w:ascii="Times New Roman" w:hAnsi="Times New Roman" w:eastAsia="仿宋_GB2312" w:cs="Times New Roman"/>
          <w:color w:val="auto"/>
          <w:kern w:val="2"/>
          <w:sz w:val="28"/>
          <w:szCs w:val="24"/>
          <w:highlight w:val="none"/>
          <w:lang w:val="en-US" w:eastAsia="zh-CN" w:bidi="ar-SA"/>
        </w:rPr>
      </w:pPr>
      <w:r>
        <w:rPr>
          <w:rFonts w:hint="default" w:ascii="Times New Roman" w:hAnsi="Times New Roman" w:eastAsia="仿宋_GB2312" w:cs="Times New Roman"/>
          <w:color w:val="auto"/>
          <w:sz w:val="28"/>
          <w:highlight w:val="none"/>
        </w:rPr>
        <w:t>联系</w:t>
      </w:r>
      <w:r>
        <w:rPr>
          <w:rFonts w:hint="default" w:ascii="Times New Roman" w:hAnsi="Times New Roman" w:eastAsia="仿宋_GB2312" w:cs="Times New Roman"/>
          <w:color w:val="auto"/>
          <w:sz w:val="28"/>
          <w:highlight w:val="none"/>
          <w:lang w:val="en-US" w:eastAsia="zh-CN"/>
        </w:rPr>
        <w:t>方式（现场踏勘）</w:t>
      </w:r>
      <w:r>
        <w:rPr>
          <w:rFonts w:hint="default" w:ascii="Times New Roman" w:hAnsi="Times New Roman" w:eastAsia="仿宋_GB2312" w:cs="Times New Roman"/>
          <w:color w:val="auto"/>
          <w:sz w:val="28"/>
          <w:highlight w:val="none"/>
        </w:rPr>
        <w:t>：010-</w:t>
      </w:r>
      <w:r>
        <w:rPr>
          <w:rFonts w:hint="default" w:ascii="Times New Roman" w:hAnsi="Times New Roman" w:eastAsia="仿宋_GB2312" w:cs="Times New Roman"/>
          <w:color w:val="auto"/>
          <w:sz w:val="28"/>
          <w:highlight w:val="none"/>
          <w:lang w:val="en-US"/>
        </w:rPr>
        <w:t>69441136</w:t>
      </w:r>
      <w:r>
        <w:rPr>
          <w:rFonts w:hint="default" w:ascii="Times New Roman" w:hAnsi="Times New Roman" w:eastAsia="仿宋_GB2312" w:cs="Times New Roman"/>
          <w:color w:val="auto"/>
          <w:kern w:val="2"/>
          <w:sz w:val="28"/>
          <w:szCs w:val="24"/>
          <w:highlight w:val="none"/>
          <w:lang w:val="en-US" w:eastAsia="zh-CN" w:bidi="ar-SA"/>
        </w:rPr>
        <w:t>。</w:t>
      </w:r>
    </w:p>
    <w:p>
      <w:pPr>
        <w:spacing w:line="240" w:lineRule="auto"/>
        <w:ind w:right="-108" w:firstLine="560"/>
        <w:jc w:val="left"/>
        <w:rPr>
          <w:rFonts w:ascii="Times New Roman" w:hAnsi="Times New Roman" w:eastAsia="仿宋_GB2312" w:cs="Times New Roman"/>
          <w:color w:val="auto"/>
          <w:sz w:val="28"/>
          <w:highlight w:val="none"/>
        </w:rPr>
      </w:pPr>
    </w:p>
    <w:p>
      <w:pPr>
        <w:wordWrap w:val="0"/>
        <w:spacing w:line="240" w:lineRule="auto"/>
        <w:jc w:val="right"/>
        <w:rPr>
          <w:rFonts w:hint="default"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 xml:space="preserve">                 </w:t>
      </w:r>
      <w:r>
        <w:rPr>
          <w:rFonts w:hint="default" w:ascii="Times New Roman" w:hAnsi="Times New Roman" w:eastAsia="仿宋_GB2312" w:cs="Times New Roman"/>
          <w:color w:val="auto"/>
          <w:sz w:val="28"/>
          <w:highlight w:val="none"/>
        </w:rPr>
        <w:t xml:space="preserve"> 北京市规划和自然资源委员会</w:t>
      </w:r>
      <w:r>
        <w:rPr>
          <w:rFonts w:hint="default" w:ascii="Times New Roman" w:hAnsi="Times New Roman" w:eastAsia="仿宋_GB2312" w:cs="Times New Roman"/>
          <w:color w:val="auto"/>
          <w:sz w:val="28"/>
          <w:highlight w:val="none"/>
          <w:lang w:val="en-US"/>
        </w:rPr>
        <w:t xml:space="preserve">  </w:t>
      </w:r>
    </w:p>
    <w:p>
      <w:pPr>
        <w:wordWrap w:val="0"/>
        <w:spacing w:line="240" w:lineRule="auto"/>
        <w:jc w:val="right"/>
        <w:rPr>
          <w:rFonts w:hint="default"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lang w:val="en-US" w:eastAsia="zh-CN"/>
        </w:rPr>
        <w:t xml:space="preserve">                  </w:t>
      </w:r>
      <w:r>
        <w:rPr>
          <w:rFonts w:hint="default" w:ascii="Times New Roman" w:hAnsi="Times New Roman" w:eastAsia="仿宋_GB2312" w:cs="Times New Roman"/>
          <w:color w:val="auto"/>
          <w:sz w:val="28"/>
          <w:highlight w:val="none"/>
        </w:rPr>
        <w:t>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lang w:val="en-US"/>
        </w:rPr>
        <w:t>8</w:t>
      </w:r>
      <w:r>
        <w:rPr>
          <w:rFonts w:hint="default" w:ascii="Times New Roman" w:hAnsi="Times New Roman" w:eastAsia="仿宋_GB2312" w:cs="Times New Roman"/>
          <w:color w:val="auto"/>
          <w:sz w:val="28"/>
          <w:highlight w:val="none"/>
          <w:lang w:eastAsia="zh-CN"/>
        </w:rPr>
        <w:t>月</w:t>
      </w:r>
      <w:r>
        <w:rPr>
          <w:rFonts w:hint="default" w:ascii="Times New Roman" w:hAnsi="Times New Roman" w:eastAsia="仿宋_GB2312" w:cs="Times New Roman"/>
          <w:color w:val="auto"/>
          <w:sz w:val="28"/>
          <w:highlight w:val="none"/>
          <w:lang w:val="en-US" w:eastAsia="zh-CN"/>
        </w:rPr>
        <w:t>9</w:t>
      </w:r>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lang w:val="en-US" w:eastAsia="zh-CN"/>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BB61BA"/>
    <w:rsid w:val="57066CCB"/>
    <w:rsid w:val="6C3E4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line="360" w:lineRule="auto"/>
      <w:ind w:right="-108" w:firstLine="720" w:firstLineChars="225"/>
      <w:jc w:val="left"/>
    </w:pPr>
    <w:rPr>
      <w:rFonts w:ascii="仿宋_GB2312" w:eastAsia="仿宋_GB2312"/>
      <w:sz w:val="32"/>
    </w:rPr>
  </w:style>
  <w:style w:type="paragraph" w:styleId="5">
    <w:name w:val="Body Text"/>
    <w:basedOn w:val="1"/>
    <w:qFormat/>
    <w:uiPriority w:val="0"/>
    <w:pPr>
      <w:spacing w:after="120"/>
    </w:pPr>
  </w:style>
  <w:style w:type="paragraph" w:styleId="6">
    <w:name w:val="footer"/>
    <w:basedOn w:val="1"/>
    <w:next w:val="1"/>
    <w:qFormat/>
    <w:uiPriority w:val="0"/>
    <w:pPr>
      <w:tabs>
        <w:tab w:val="center" w:pos="4153"/>
        <w:tab w:val="right" w:pos="8306"/>
      </w:tabs>
      <w:snapToGrid w:val="0"/>
      <w:jc w:val="left"/>
    </w:pPr>
    <w:rPr>
      <w:sz w:val="18"/>
      <w:szCs w:val="18"/>
    </w:rPr>
  </w:style>
  <w:style w:type="paragraph" w:styleId="7">
    <w:name w:val="Body Text Indent 3"/>
    <w:basedOn w:val="1"/>
    <w:qFormat/>
    <w:uiPriority w:val="0"/>
    <w:pPr>
      <w:ind w:firstLine="727" w:firstLineChars="202"/>
    </w:pPr>
    <w:rPr>
      <w:rFonts w:ascii="楷体_GB2312" w:eastAsia="楷体_GB2312"/>
      <w:spacing w:val="20"/>
      <w:kern w:val="15"/>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刘笑颖</cp:lastModifiedBy>
  <dcterms:modified xsi:type="dcterms:W3CDTF">2024-08-08T07:30:56Z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C3F69E06A02444C5A81AED6E975B0ADE</vt:lpwstr>
  </property>
</Properties>
</file>